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方向七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企业 AI 集成与落地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SSO/SAML · 数据合规 · 私有部署 · 集成模式 · 安全 · 治理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把 AI 接到 OA、ERP、IM、邮件的真实工程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学前说明：企业落地的真实难点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把 AI 跑通只是第一步。把它接到企业里的 OA、ERP、CRM、Confluence、邮件、IM 系统才是真正的难点。这一篇讲的是 AI 工程师容易低估的复杂度。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认证集成：SSO、SAML、OIDC、AD/LDAP、企业微信/钉钉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数据合规：内部数据不能出公网、用户数据不能跨地区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部署形态：完全本地、混合云、SaaS 哪种合适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集成模式：API、IM Bot、邮件、工单系统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治理框架：审批、审计、变更管理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理解企业 AI 部署的三种形态及适用场景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设计与企业 IAM 系统集成的认证授权流程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判断哪些数据可以送到外部 LLM、哪些必须本地处理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 AI 集成到 IM（钉钉/企业微信/Slack/Teams）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建立企业级 AI 治理框架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第一章：部署形态的选择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三种部署形态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形态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说明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成本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公有云 SaaS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直接调用 OpenAI/Claude API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初创公司、非敏感数据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混合云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敏感数据本地，通用问答走云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中大型企业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完全本地化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私有部署开源模型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金融、政府、军工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数据敏感度分级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级别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示例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处理方式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L1 公开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公司新闻、产品介绍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可送外部 LLM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L2 内部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内部文档、流程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可送 Azure OpenAI（合规）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L3 受限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客户名单、合同金额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必须脱敏后送，或走私有部署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L4 机密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财报草稿、并购信息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必须本地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决策框架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部署形态决策树</w:t>
        <w:br/>
        <w:t>function chooseDeployment(req: BusinessRequirement) {</w:t>
        <w:br/>
        <w:t xml:space="preserve">  // 1. 监管硬约束</w:t>
        <w:br/>
        <w:t xml:space="preserve">  if (req.industry in ['金融', '政府', '军工']) {</w:t>
        <w:br/>
        <w:t xml:space="preserve">    return '完全本地化';</w:t>
        <w:br/>
        <w:t xml:space="preserve">  }</w:t>
        <w:br/>
        <w:t xml:space="preserve">  </w:t>
        <w:br/>
        <w:t xml:space="preserve">  // 2. 数据敏感度</w:t>
        <w:br/>
        <w:t xml:space="preserve">  if (req.dataLevel === 'L4') {</w:t>
        <w:br/>
        <w:t xml:space="preserve">    return '完全本地化';</w:t>
        <w:br/>
        <w:t xml:space="preserve">  }</w:t>
        <w:br/>
        <w:t xml:space="preserve">  </w:t>
        <w:br/>
        <w:t xml:space="preserve">  // 3. 成本和能力平衡</w:t>
        <w:br/>
        <w:t xml:space="preserve">  if (req.dataLevel === 'L3' &amp;&amp; req.budget === 'limited') {</w:t>
        <w:br/>
        <w:t xml:space="preserve">    return '混合云：敏感数据本地，其他走云';</w:t>
        <w:br/>
        <w:t xml:space="preserve">  }</w:t>
        <w:br/>
        <w:t xml:space="preserve">  </w:t>
        <w:br/>
        <w:t xml:space="preserve">  // 4. 默认</w:t>
        <w:br/>
        <w:t xml:space="preserve">  return req.budget === 'low' ? '公有云 SaaS' : '混合云';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第二章：企业认证集成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SSO / SAML / OIDC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企业级 AI 应用必须接入企业 SSO，不能让用户重新注册。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协议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复杂度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SAML 2.0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传统企业 IT（Microsoft AD）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OIDC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现代云原生（Okta、Auth0）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企业微信 OAuth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中国互联网公司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钉钉 OAuth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中国传统企业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OIDC 集成示例（NextAuth）</w:t>
        <w:br/>
        <w:t>import NextAuth from 'next-auth';</w:t>
        <w:br/>
        <w:t>import OktaProvider from 'next-auth/providers/okta';</w:t>
        <w:br/>
        <w:br/>
        <w:t>export default NextAuth({</w:t>
        <w:br/>
        <w:t xml:space="preserve">  providers: [</w:t>
        <w:br/>
        <w:t xml:space="preserve">    OktaProvider({</w:t>
        <w:br/>
        <w:t xml:space="preserve">      clientId: process.env.OKTA_CLIENT_ID,</w:t>
        <w:br/>
        <w:t xml:space="preserve">      clientSecret: process.env.OKTA_CLIENT_SECRET,</w:t>
        <w:br/>
        <w:t xml:space="preserve">      issuer: process.env.OKTA_ISSUER,</w:t>
        <w:br/>
        <w:t xml:space="preserve">    }),</w:t>
        <w:br/>
        <w:t xml:space="preserve">  ],</w:t>
        <w:br/>
        <w:t xml:space="preserve">  callbacks: {</w:t>
        <w:br/>
        <w:t xml:space="preserve">    async session({ session, token }) {</w:t>
        <w:br/>
        <w:t xml:space="preserve">      // 加入企业角色信息</w:t>
        <w:br/>
        <w:t xml:space="preserve">      session.user.role = token.role;</w:t>
        <w:br/>
        <w:t xml:space="preserve">      session.user.department = token.department;</w:t>
        <w:br/>
        <w:t xml:space="preserve">      return session;</w:t>
        <w:br/>
        <w:t xml:space="preserve">    },</w:t>
        <w:br/>
        <w:t xml:space="preserve">  },</w:t>
        <w:br/>
        <w:t>});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权限模型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模型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描述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RBAC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基于角色（admin、user、viewer）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简单组织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ABAC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基于属性（部门、职级、地区）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复杂权限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ACL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细到每个资源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文档级别授权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第三章：数据合规与脱敏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数据出境与跨地区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中国数据不能出境（《数据出境安全评估办法》）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EU 数据受 GDPR 约束，传输到非充分性国家需要 SCC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美国 HIPAA 数据不能给非合规处理者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解决：用区域化部署（Azure China / OpenAI Europe）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PII 脱敏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自动脱敏管道</w:t>
        <w:br/>
        <w:t>import { detect, redact } from '@/lib/pii';</w:t>
        <w:br/>
        <w:br/>
        <w:t>async function safeQuery(userMessage: string) {</w:t>
        <w:br/>
        <w:t xml:space="preserve">  // 1. 检测 PII</w:t>
        <w:br/>
        <w:t xml:space="preserve">  const pii = await detect(userMessage);</w:t>
        <w:br/>
        <w:t xml:space="preserve">  // pii = [{ type: 'email', value: 'xxx@yyy', start: 10, end: 25 }]</w:t>
        <w:br/>
        <w:t xml:space="preserve">  </w:t>
        <w:br/>
        <w:t xml:space="preserve">  // 2. 脱敏</w:t>
        <w:br/>
        <w:t xml:space="preserve">  const safeMessage = redact(userMessage, pii);</w:t>
        <w:br/>
        <w:t xml:space="preserve">  // "请帮我联系 [EMAIL_1]"（原文：xxx@yyy 被替换）</w:t>
        <w:br/>
        <w:t xml:space="preserve">  </w:t>
        <w:br/>
        <w:t xml:space="preserve">  // 3. 调用 LLM</w:t>
        <w:br/>
        <w:t xml:space="preserve">  const response = await llm.chat(safeMessage);</w:t>
        <w:br/>
        <w:t xml:space="preserve">  </w:t>
        <w:br/>
        <w:t xml:space="preserve">  // 4. 还原（如果回答里需要原始信息）</w:t>
        <w:br/>
        <w:t xml:space="preserve">  const finalResponse = restore(response, pii);</w:t>
        <w:br/>
        <w:t xml:space="preserve">  </w:t>
        <w:br/>
        <w:t xml:space="preserve">  // 5. 审计</w:t>
        <w:br/>
        <w:t xml:space="preserve">  await audit.log({</w:t>
        <w:br/>
        <w:t xml:space="preserve">    original: hashSensitive(userMessage),</w:t>
        <w:br/>
        <w:t xml:space="preserve">    safe: safeMessage,</w:t>
        <w:br/>
        <w:t xml:space="preserve">    pii_count: pii.length,</w:t>
        <w:br/>
        <w:t xml:space="preserve">  });</w:t>
        <w:br/>
        <w:t xml:space="preserve">  </w:t>
        <w:br/>
        <w:t xml:space="preserve">  return finalResponse;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第四章：与 IM 系统集成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主流 IM 平台对比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平台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机器人能力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认证方式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消息格式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Slack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丰富（Block Kit、Modal）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OAuth + Bot Token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Markdown + Block JSON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Microsoft Teams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完整 Bot Framework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Azure AD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Adaptive Cards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企业微信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应用消息、群聊机器人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 AppID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Markdown / 卡片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钉钉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助理 / 工作通知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企业内部应用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Markdown / 卡片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飞书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机器人 + 卡片消息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应用凭证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Markdown / 卡片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Slack Bot 实战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Slack Bot（用 Bolt SDK）</w:t>
        <w:br/>
        <w:t>import { App } from '@slack/bolt';</w:t>
        <w:br/>
        <w:br/>
        <w:t>const app = new App({</w:t>
        <w:br/>
        <w:t xml:space="preserve">  token: process.env.SLACK_BOT_TOKEN,</w:t>
        <w:br/>
        <w:t xml:space="preserve">  signingSecret: process.env.SLACK_SIGNING_SECRET,</w:t>
        <w:br/>
        <w:t xml:space="preserve">  socketMode: true,</w:t>
        <w:br/>
        <w:t xml:space="preserve">  appToken: process.env.SLACK_APP_TOKEN,</w:t>
        <w:br/>
        <w:t>});</w:t>
        <w:br/>
        <w:br/>
        <w:t>// 响应 @机器人 消息</w:t>
        <w:br/>
        <w:t>app.event('app_mention', async ({ event, say }) =&gt; {</w:t>
        <w:br/>
        <w:t xml:space="preserve">  // 1. 验证用户身份（关联企业账户）</w:t>
        <w:br/>
        <w:t xml:space="preserve">  const user = await getUserByslackId(event.user);</w:t>
        <w:br/>
        <w:t xml:space="preserve">  if (!user) {</w:t>
        <w:br/>
        <w:t xml:space="preserve">    await say('请先在系统里绑定 Slack 账户');</w:t>
        <w:br/>
        <w:t xml:space="preserve">    return;</w:t>
        <w:br/>
        <w:t xml:space="preserve">  }</w:t>
        <w:br/>
        <w:t xml:space="preserve">  </w:t>
        <w:br/>
        <w:t xml:space="preserve">  // 2. 调用 AI（带用户身份）</w:t>
        <w:br/>
        <w:t xml:space="preserve">  const response = await aiAgent.run({</w:t>
        <w:br/>
        <w:t xml:space="preserve">    message: event.text,</w:t>
        <w:br/>
        <w:t xml:space="preserve">    userId: user.id,</w:t>
        <w:br/>
        <w:t xml:space="preserve">    tenantId: user.tenantId,</w:t>
        <w:br/>
        <w:t xml:space="preserve">  });</w:t>
        <w:br/>
        <w:t xml:space="preserve">  </w:t>
        <w:br/>
        <w:t xml:space="preserve">  // 3. 回复（Block Kit 格式）</w:t>
        <w:br/>
        <w:t xml:space="preserve">  await say({</w:t>
        <w:br/>
        <w:t xml:space="preserve">    blocks: [</w:t>
        <w:br/>
        <w:t xml:space="preserve">      {</w:t>
        <w:br/>
        <w:t xml:space="preserve">        type: 'section',</w:t>
        <w:br/>
        <w:t xml:space="preserve">        text: { type: 'mrkdwn', text: response.content },</w:t>
        <w:br/>
        <w:t xml:space="preserve">      },</w:t>
        <w:br/>
        <w:t xml:space="preserve">      {</w:t>
        <w:br/>
        <w:t xml:space="preserve">        type: 'context',</w:t>
        <w:br/>
        <w:t xml:space="preserve">        elements: [</w:t>
        <w:br/>
        <w:t xml:space="preserve">          { type: 'mrkdwn', text: `Run ID: ${response.runId}` },</w:t>
        <w:br/>
        <w:t xml:space="preserve">        ],</w:t>
        <w:br/>
        <w:t xml:space="preserve">      },</w:t>
        <w:br/>
        <w:t xml:space="preserve">    ],</w:t>
        <w:br/>
        <w:t xml:space="preserve">  });</w:t>
        <w:br/>
        <w:t>});</w:t>
        <w:br/>
        <w:br/>
        <w:t>await app.start();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第五章：企业 AI 治理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治理框架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内容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责任方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模型选型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哪些模型可以用，按数据级别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IT + 安全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审核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 Prompt 改动需审批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工程师 + 产品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数据访问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能访问哪些数据源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数据安全官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审计日志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 AI 决策可追溯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IT 审计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事故响应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出错时的应急流程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运维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上线审批流程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企业 AI 应用上线检查清单（示例）</w:t>
        <w:br/>
        <w:br/>
        <w:t>1. 安全审查</w:t>
        <w:br/>
        <w:t xml:space="preserve">   □ 已通过红队测试（注入、越权、泄露）</w:t>
        <w:br/>
        <w:t xml:space="preserve">   □ 数据流向已审批</w:t>
        <w:br/>
        <w:t xml:space="preserve">   □ 使用的模型符合合规要求</w:t>
        <w:br/>
        <w:br/>
        <w:t>2. 数据合规</w:t>
        <w:br/>
        <w:t xml:space="preserve">   □ 数据级别已分类</w:t>
        <w:br/>
        <w:t xml:space="preserve">   □ PII 脱敏方案已实施</w:t>
        <w:br/>
        <w:t xml:space="preserve">   □ 跨境数据已申报</w:t>
        <w:br/>
        <w:br/>
        <w:t>3. 治理</w:t>
        <w:br/>
        <w:t xml:space="preserve">   □ 已接入企业 SSO</w:t>
        <w:br/>
        <w:t xml:space="preserve">   □ 审计日志已开启</w:t>
        <w:br/>
        <w:t xml:space="preserve">   □ 成本上限已设置</w:t>
        <w:br/>
        <w:br/>
        <w:t>4. 运维</w:t>
        <w:br/>
        <w:t xml:space="preserve">   □ 监控告警已配置</w:t>
        <w:br/>
        <w:t xml:space="preserve">   □ 应急预案已备</w:t>
        <w:br/>
        <w:t xml:space="preserve">   □ Runbook 已编写</w:t>
        <w:br/>
        <w:br/>
        <w:t>5. 培训</w:t>
        <w:br/>
        <w:t xml:space="preserve">   □ 用户使用指南已发布</w:t>
        <w:br/>
        <w:t xml:space="preserve">   □ 安全使用培训已完成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第六章：踩坑与最佳实践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SAML 集成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调试困难，错误日志少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SAML-tracer 浏览器插件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数据脱敏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PII 检测漏报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多重检测 + 人工抽查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IM 机器人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消息频繁触发限流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加请求队列 + 退避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权限同步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员工离职后还能用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定时同步 + 失败告警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本地部署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运维复杂、模型更新慢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考虑 Azure OpenAI 等合规云服务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审计日志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日志量太大存不下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冷热分层 + 重要事件单独存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OWASP AI Security: https://owasp.org/www-project-ai-security-and-privacy-guide/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NIST AI RMF: https://www.nist.gov/itl/ai-risk-management-framework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Azure OpenAI: https://learn.microsoft.com/en-us/azure/ai-services/openai/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Slack Bolt: https://slack.dev/bolt-js/concepts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企业微信开发文档: https://developer.work.weixin.qq.com/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